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EBAA" w14:textId="77777777" w:rsidR="00255EBE" w:rsidRPr="000E3D88" w:rsidRDefault="00DA4739">
      <w:pPr>
        <w:spacing w:before="79"/>
        <w:ind w:right="1"/>
        <w:jc w:val="center"/>
        <w:rPr>
          <w:b/>
          <w:sz w:val="20"/>
          <w:szCs w:val="20"/>
        </w:rPr>
      </w:pPr>
      <w:r w:rsidRPr="000E3D88">
        <w:rPr>
          <w:w w:val="99"/>
          <w:sz w:val="20"/>
          <w:szCs w:val="20"/>
          <w:u w:val="thick"/>
        </w:rPr>
        <w:t xml:space="preserve"> </w:t>
      </w:r>
      <w:r w:rsidRPr="000E3D88">
        <w:rPr>
          <w:b/>
          <w:sz w:val="20"/>
          <w:szCs w:val="20"/>
          <w:u w:val="thick"/>
        </w:rPr>
        <w:t>TÁJÉKOZTATÓ A HONVÉDELMI SPORTSZÖVETSÉG ÁLTAL NYÚJTOTT TÁMOGATÁSOK</w:t>
      </w:r>
    </w:p>
    <w:p w14:paraId="4111DE68" w14:textId="77777777" w:rsidR="006E1623" w:rsidRPr="000E3D88" w:rsidRDefault="00DA4739">
      <w:pPr>
        <w:spacing w:before="148"/>
        <w:jc w:val="center"/>
        <w:rPr>
          <w:b/>
          <w:sz w:val="20"/>
          <w:szCs w:val="20"/>
          <w:u w:val="thick"/>
        </w:rPr>
      </w:pPr>
      <w:r w:rsidRPr="000E3D88">
        <w:rPr>
          <w:w w:val="99"/>
          <w:sz w:val="20"/>
          <w:szCs w:val="20"/>
          <w:u w:val="thick"/>
        </w:rPr>
        <w:t xml:space="preserve"> </w:t>
      </w:r>
      <w:r w:rsidRPr="000E3D88">
        <w:rPr>
          <w:b/>
          <w:sz w:val="20"/>
          <w:szCs w:val="20"/>
          <w:u w:val="thick"/>
        </w:rPr>
        <w:t>FELHASZNÁLÁSA SORÁN IRÁNYADÓ BENCHMARK-RENDSZERRŐL</w:t>
      </w:r>
    </w:p>
    <w:p w14:paraId="2F68FF8B" w14:textId="37B46BE1" w:rsidR="006E1623" w:rsidRPr="000E3D88" w:rsidRDefault="005F67D6" w:rsidP="000E3D88">
      <w:pPr>
        <w:spacing w:before="199" w:line="360" w:lineRule="auto"/>
        <w:ind w:left="116" w:right="113"/>
        <w:jc w:val="center"/>
        <w:rPr>
          <w:b/>
          <w:sz w:val="28"/>
          <w:szCs w:val="36"/>
          <w:u w:val="thick"/>
        </w:rPr>
      </w:pPr>
      <w:r>
        <w:rPr>
          <w:b/>
          <w:sz w:val="28"/>
          <w:szCs w:val="36"/>
          <w:u w:val="thick"/>
        </w:rPr>
        <w:t>Honvédelem Tantárgyat oktató intézmények</w:t>
      </w:r>
    </w:p>
    <w:p w14:paraId="26EEECCC" w14:textId="6711B52C" w:rsidR="006E1623" w:rsidRDefault="006E1623">
      <w:pPr>
        <w:spacing w:before="199" w:line="360" w:lineRule="auto"/>
        <w:ind w:left="116" w:right="11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F066622" wp14:editId="6C6780A4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873160" cy="1066800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AD84C" w14:textId="77777777" w:rsidR="006E1623" w:rsidRDefault="006E1623">
      <w:pPr>
        <w:spacing w:before="199" w:line="360" w:lineRule="auto"/>
        <w:ind w:left="116" w:right="113"/>
        <w:jc w:val="both"/>
        <w:rPr>
          <w:sz w:val="24"/>
        </w:rPr>
      </w:pPr>
    </w:p>
    <w:p w14:paraId="65AAB8A0" w14:textId="77777777" w:rsidR="00B928A1" w:rsidRDefault="00B928A1">
      <w:pPr>
        <w:spacing w:before="199" w:line="360" w:lineRule="auto"/>
        <w:ind w:left="116" w:right="113"/>
        <w:jc w:val="both"/>
        <w:rPr>
          <w:sz w:val="24"/>
        </w:rPr>
      </w:pPr>
    </w:p>
    <w:p w14:paraId="1361F938" w14:textId="77777777" w:rsidR="00B928A1" w:rsidRDefault="00B928A1">
      <w:pPr>
        <w:spacing w:before="199" w:line="360" w:lineRule="auto"/>
        <w:ind w:left="116" w:right="113"/>
        <w:jc w:val="both"/>
        <w:rPr>
          <w:sz w:val="24"/>
        </w:rPr>
      </w:pPr>
    </w:p>
    <w:p w14:paraId="6679C286" w14:textId="54AD31F2" w:rsidR="00255EBE" w:rsidRDefault="00DA4739">
      <w:pPr>
        <w:spacing w:before="199" w:line="360" w:lineRule="auto"/>
        <w:ind w:left="116" w:right="113"/>
        <w:jc w:val="both"/>
        <w:rPr>
          <w:sz w:val="24"/>
        </w:rPr>
      </w:pPr>
      <w:r>
        <w:rPr>
          <w:sz w:val="24"/>
        </w:rPr>
        <w:t xml:space="preserve">Felhívjuk a Kedvezményezett figyelmét arra, hogy a lenti táblázatban megjelenített maximális értékektől </w:t>
      </w:r>
      <w:r>
        <w:rPr>
          <w:b/>
          <w:sz w:val="24"/>
        </w:rPr>
        <w:t xml:space="preserve">eltérni </w:t>
      </w:r>
      <w:r>
        <w:rPr>
          <w:sz w:val="24"/>
        </w:rPr>
        <w:t xml:space="preserve">kizárólag a támogatott szervezet </w:t>
      </w:r>
      <w:r>
        <w:rPr>
          <w:b/>
          <w:sz w:val="24"/>
        </w:rPr>
        <w:t xml:space="preserve">részletes indoklással </w:t>
      </w:r>
      <w:r>
        <w:rPr>
          <w:sz w:val="24"/>
        </w:rPr>
        <w:t xml:space="preserve">alátámasztott </w:t>
      </w:r>
      <w:r>
        <w:rPr>
          <w:b/>
          <w:sz w:val="24"/>
        </w:rPr>
        <w:t xml:space="preserve">egyedi kérelme </w:t>
      </w:r>
      <w:r>
        <w:rPr>
          <w:sz w:val="24"/>
        </w:rPr>
        <w:t xml:space="preserve">alapján, a Támogató előzetes </w:t>
      </w:r>
      <w:r>
        <w:rPr>
          <w:b/>
          <w:sz w:val="24"/>
        </w:rPr>
        <w:t xml:space="preserve">írásbeli hozzájárulásával </w:t>
      </w:r>
      <w:r>
        <w:rPr>
          <w:sz w:val="24"/>
        </w:rPr>
        <w:t>lehet.</w:t>
      </w:r>
    </w:p>
    <w:p w14:paraId="68288D62" w14:textId="27D6C323" w:rsidR="00255EBE" w:rsidRDefault="00DA4739">
      <w:pPr>
        <w:pStyle w:val="Szvegtrzs"/>
        <w:spacing w:before="2" w:line="360" w:lineRule="auto"/>
        <w:ind w:left="116" w:right="111"/>
        <w:jc w:val="both"/>
      </w:pPr>
      <w:r>
        <w:t xml:space="preserve">Tájékoztatjuk, hogy a lenti felsorolás </w:t>
      </w:r>
      <w:r>
        <w:rPr>
          <w:b/>
        </w:rPr>
        <w:t>nem teljes körű</w:t>
      </w:r>
      <w:r>
        <w:t>. Az összefoglalóban, illetve a táblázatban nem szerepeltetett, de a programok megvalósítását közvetlenül szolgáló, a projektekben betervezésre került tételek esetében a Támogató a Támog</w:t>
      </w:r>
      <w:r w:rsidR="000E3DD4">
        <w:t>ató okirat</w:t>
      </w:r>
      <w:r>
        <w:t xml:space="preserve"> mellékletét képező költségterv elfogadásakor - szükség esetén azok előzetes egyeztetését követően – dönt.</w:t>
      </w:r>
    </w:p>
    <w:p w14:paraId="76C4D6BE" w14:textId="77777777" w:rsidR="00255EBE" w:rsidRDefault="00DA4739">
      <w:pPr>
        <w:pStyle w:val="Szvegtrzs"/>
        <w:spacing w:line="360" w:lineRule="auto"/>
        <w:ind w:left="116" w:right="115"/>
        <w:jc w:val="both"/>
      </w:pPr>
      <w:r>
        <w:t>Szintén felhívjuk Kedvezményezett figyelmét arra, hogy a Benchmark-rendszerben szereplő szabályok általános, útmutató jellegűek, az elszámolható költségek körét minden esetben az adott támogatási felhívás határozza meg.</w:t>
      </w:r>
    </w:p>
    <w:p w14:paraId="786F37AC" w14:textId="77777777" w:rsidR="00255EBE" w:rsidRDefault="00DA4739">
      <w:pPr>
        <w:pStyle w:val="Cmsor1"/>
        <w:spacing w:before="1"/>
        <w:ind w:left="116" w:firstLine="0"/>
        <w:jc w:val="both"/>
      </w:pPr>
      <w:r>
        <w:t>Általános alapelvek:</w:t>
      </w:r>
    </w:p>
    <w:p w14:paraId="5DB7BD0A" w14:textId="5342FF8C" w:rsidR="00255EBE" w:rsidRDefault="00DA473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37" w:line="343" w:lineRule="auto"/>
        <w:ind w:right="114"/>
        <w:rPr>
          <w:sz w:val="24"/>
        </w:rPr>
      </w:pPr>
      <w:r>
        <w:rPr>
          <w:sz w:val="24"/>
        </w:rPr>
        <w:t xml:space="preserve">A benchmarkokban szereplő tételek minden esetben </w:t>
      </w:r>
      <w:r>
        <w:rPr>
          <w:b/>
          <w:sz w:val="24"/>
        </w:rPr>
        <w:t xml:space="preserve">bruttó </w:t>
      </w:r>
      <w:r>
        <w:rPr>
          <w:sz w:val="24"/>
        </w:rPr>
        <w:t>értéken kerültek meghatározásra</w:t>
      </w:r>
      <w:r w:rsidR="005F67D6">
        <w:rPr>
          <w:sz w:val="24"/>
        </w:rPr>
        <w:t xml:space="preserve">. </w:t>
      </w:r>
    </w:p>
    <w:p w14:paraId="6CDC16B3" w14:textId="11D28AB2" w:rsidR="00255EBE" w:rsidRDefault="00B76A2F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9" w:line="340" w:lineRule="auto"/>
        <w:ind w:right="114"/>
        <w:rPr>
          <w:sz w:val="24"/>
        </w:rPr>
      </w:pPr>
      <w:r>
        <w:rPr>
          <w:sz w:val="24"/>
        </w:rPr>
        <w:t>Étkezések és é</w:t>
      </w:r>
      <w:r w:rsidR="00DA4739">
        <w:rPr>
          <w:sz w:val="24"/>
        </w:rPr>
        <w:t>lelmiszer alapanyagok csak az eseményhez közvetlenül kapcsolódóan számolhatók el a támogatás</w:t>
      </w:r>
      <w:r w:rsidR="00DA4739">
        <w:rPr>
          <w:spacing w:val="-4"/>
          <w:sz w:val="24"/>
        </w:rPr>
        <w:t xml:space="preserve"> </w:t>
      </w:r>
      <w:r w:rsidR="00DA4739">
        <w:rPr>
          <w:sz w:val="24"/>
        </w:rPr>
        <w:t>terhére.</w:t>
      </w:r>
    </w:p>
    <w:p w14:paraId="525FCAB6" w14:textId="551F86B6" w:rsidR="00255EBE" w:rsidRDefault="00DA473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26" w:line="340" w:lineRule="auto"/>
        <w:ind w:right="116"/>
        <w:rPr>
          <w:sz w:val="24"/>
        </w:rPr>
      </w:pPr>
      <w:r>
        <w:rPr>
          <w:sz w:val="24"/>
        </w:rPr>
        <w:t xml:space="preserve">Támogatás legfeljebb </w:t>
      </w:r>
      <w:r w:rsidR="005F67D6">
        <w:rPr>
          <w:sz w:val="24"/>
        </w:rPr>
        <w:t>3</w:t>
      </w:r>
      <w:r>
        <w:rPr>
          <w:sz w:val="24"/>
        </w:rPr>
        <w:t>0%-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 xml:space="preserve"> számolható el a rendezvény szervezésével összefüggő étkezés és frissítők költségei.</w:t>
      </w:r>
    </w:p>
    <w:p w14:paraId="3FF0815B" w14:textId="77777777" w:rsidR="00255EBE" w:rsidRDefault="00DA473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25" w:line="340" w:lineRule="auto"/>
        <w:ind w:right="118"/>
        <w:rPr>
          <w:sz w:val="24"/>
        </w:rPr>
      </w:pPr>
      <w:r>
        <w:rPr>
          <w:sz w:val="24"/>
        </w:rPr>
        <w:t>Gépjármű beszerzése és gépjárművek üzemben tartásával összefüggő költség nem elszámolható.</w:t>
      </w:r>
    </w:p>
    <w:p w14:paraId="089F66B7" w14:textId="357FC8DD" w:rsidR="00255EBE" w:rsidRDefault="00DA4739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25"/>
        <w:ind w:hanging="361"/>
        <w:rPr>
          <w:sz w:val="24"/>
        </w:rPr>
      </w:pPr>
      <w:r>
        <w:rPr>
          <w:sz w:val="24"/>
        </w:rPr>
        <w:t xml:space="preserve">A támogatás legfeljebb </w:t>
      </w:r>
      <w:r w:rsidR="005F67D6">
        <w:rPr>
          <w:sz w:val="24"/>
        </w:rPr>
        <w:t>7</w:t>
      </w:r>
      <w:r>
        <w:rPr>
          <w:sz w:val="24"/>
        </w:rPr>
        <w:t>0%-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 xml:space="preserve"> számolható el az utazás</w:t>
      </w:r>
      <w:r>
        <w:rPr>
          <w:spacing w:val="-5"/>
          <w:sz w:val="24"/>
        </w:rPr>
        <w:t xml:space="preserve"> </w:t>
      </w:r>
      <w:r>
        <w:rPr>
          <w:sz w:val="24"/>
        </w:rPr>
        <w:t>költségei.</w:t>
      </w:r>
    </w:p>
    <w:p w14:paraId="441197E9" w14:textId="77777777" w:rsidR="005F67D6" w:rsidRDefault="005F67D6" w:rsidP="009748C4">
      <w:pPr>
        <w:pStyle w:val="Listaszerbekezds"/>
        <w:tabs>
          <w:tab w:val="left" w:pos="836"/>
          <w:tab w:val="left" w:pos="837"/>
        </w:tabs>
        <w:spacing w:before="25"/>
        <w:ind w:firstLine="0"/>
        <w:rPr>
          <w:sz w:val="24"/>
        </w:rPr>
      </w:pPr>
    </w:p>
    <w:p w14:paraId="4A67C23F" w14:textId="5A11050E" w:rsidR="00B928A1" w:rsidRPr="000E3D88" w:rsidRDefault="00DA4739" w:rsidP="009748C4">
      <w:pPr>
        <w:pStyle w:val="Listaszerbekezds"/>
        <w:numPr>
          <w:ilvl w:val="0"/>
          <w:numId w:val="1"/>
        </w:numPr>
        <w:tabs>
          <w:tab w:val="left" w:pos="837"/>
        </w:tabs>
        <w:spacing w:before="3" w:line="340" w:lineRule="auto"/>
        <w:ind w:right="117"/>
        <w:jc w:val="both"/>
      </w:pPr>
      <w:r>
        <w:rPr>
          <w:sz w:val="24"/>
        </w:rPr>
        <w:t>Személyi jellegű ráfordításokra a támogatás maximum 40%-a</w:t>
      </w:r>
      <w:r w:rsidRPr="000E3D88">
        <w:rPr>
          <w:sz w:val="24"/>
        </w:rPr>
        <w:t xml:space="preserve"> </w:t>
      </w:r>
      <w:r>
        <w:rPr>
          <w:sz w:val="24"/>
        </w:rPr>
        <w:t>fordítható</w:t>
      </w:r>
      <w:r w:rsidR="005F67D6">
        <w:rPr>
          <w:sz w:val="24"/>
        </w:rPr>
        <w:t xml:space="preserve"> (csak kísérőtanár részére)</w:t>
      </w:r>
    </w:p>
    <w:p w14:paraId="74C819A4" w14:textId="77777777" w:rsidR="00255EBE" w:rsidRDefault="00DA4739" w:rsidP="000E3D88">
      <w:pPr>
        <w:pStyle w:val="Listaszerbekezds"/>
        <w:numPr>
          <w:ilvl w:val="0"/>
          <w:numId w:val="1"/>
        </w:numPr>
        <w:tabs>
          <w:tab w:val="left" w:pos="837"/>
        </w:tabs>
        <w:spacing w:before="3" w:line="340" w:lineRule="auto"/>
        <w:ind w:right="117"/>
        <w:jc w:val="both"/>
        <w:rPr>
          <w:sz w:val="24"/>
        </w:rPr>
      </w:pPr>
      <w:r>
        <w:rPr>
          <w:sz w:val="24"/>
        </w:rPr>
        <w:t>Bérleti díjjal kapcsolatos költségekre a támogatás maximum 40%-a</w:t>
      </w:r>
      <w:r w:rsidRPr="000E3D88">
        <w:rPr>
          <w:sz w:val="24"/>
        </w:rPr>
        <w:t xml:space="preserve"> </w:t>
      </w:r>
      <w:r>
        <w:rPr>
          <w:sz w:val="24"/>
        </w:rPr>
        <w:t>fordítható.</w:t>
      </w:r>
    </w:p>
    <w:p w14:paraId="66BB1210" w14:textId="24510AD5" w:rsidR="00B928A1" w:rsidRDefault="00B928A1" w:rsidP="000E3D88">
      <w:pPr>
        <w:pStyle w:val="Listaszerbekezds"/>
        <w:numPr>
          <w:ilvl w:val="0"/>
          <w:numId w:val="1"/>
        </w:numPr>
        <w:tabs>
          <w:tab w:val="left" w:pos="837"/>
        </w:tabs>
        <w:spacing w:before="3" w:line="340" w:lineRule="auto"/>
        <w:ind w:right="117"/>
        <w:jc w:val="both"/>
        <w:rPr>
          <w:sz w:val="24"/>
        </w:rPr>
      </w:pPr>
      <w:r>
        <w:rPr>
          <w:sz w:val="24"/>
        </w:rPr>
        <w:t>K</w:t>
      </w:r>
      <w:r w:rsidRPr="0071605F">
        <w:rPr>
          <w:sz w:val="24"/>
        </w:rPr>
        <w:t xml:space="preserve">ísérő </w:t>
      </w:r>
      <w:r w:rsidRPr="00202C14">
        <w:rPr>
          <w:sz w:val="24"/>
        </w:rPr>
        <w:t>pedagógus/személy költségének szabályai: 8 fő kadétonként 1 kísérő számolható el, legfeljebb</w:t>
      </w:r>
      <w:r w:rsidR="004340A5" w:rsidRPr="00202C14">
        <w:rPr>
          <w:sz w:val="24"/>
        </w:rPr>
        <w:t xml:space="preserve"> </w:t>
      </w:r>
      <w:r w:rsidR="001E39EB" w:rsidRPr="00202C14">
        <w:rPr>
          <w:b/>
          <w:bCs/>
          <w:color w:val="FF0000"/>
          <w:sz w:val="24"/>
        </w:rPr>
        <w:t>bruttó</w:t>
      </w:r>
      <w:r w:rsidRPr="00202C14">
        <w:rPr>
          <w:sz w:val="24"/>
        </w:rPr>
        <w:t xml:space="preserve"> </w:t>
      </w:r>
      <w:r w:rsidR="00202C14" w:rsidRPr="00202C14">
        <w:rPr>
          <w:sz w:val="24"/>
        </w:rPr>
        <w:t>30</w:t>
      </w:r>
      <w:r w:rsidRPr="00202C14">
        <w:rPr>
          <w:sz w:val="24"/>
        </w:rPr>
        <w:t>.0</w:t>
      </w:r>
      <w:r w:rsidR="00202C14" w:rsidRPr="00202C14">
        <w:rPr>
          <w:sz w:val="24"/>
        </w:rPr>
        <w:t>75</w:t>
      </w:r>
      <w:r w:rsidRPr="00202C14">
        <w:rPr>
          <w:sz w:val="24"/>
        </w:rPr>
        <w:t xml:space="preserve"> Ft/nap</w:t>
      </w:r>
      <w:r w:rsidRPr="0071605F">
        <w:rPr>
          <w:sz w:val="24"/>
        </w:rPr>
        <w:t>/fő összeggel</w:t>
      </w:r>
    </w:p>
    <w:p w14:paraId="324117D0" w14:textId="79E7B3D8" w:rsidR="004D0AE4" w:rsidRPr="0088444A" w:rsidRDefault="004D0AE4" w:rsidP="000E3D88">
      <w:pPr>
        <w:pStyle w:val="Listaszerbekezds"/>
        <w:numPr>
          <w:ilvl w:val="0"/>
          <w:numId w:val="1"/>
        </w:numPr>
        <w:tabs>
          <w:tab w:val="left" w:pos="837"/>
        </w:tabs>
        <w:spacing w:before="3" w:line="340" w:lineRule="auto"/>
        <w:ind w:right="117"/>
        <w:jc w:val="both"/>
        <w:rPr>
          <w:sz w:val="24"/>
        </w:rPr>
      </w:pPr>
      <w:r>
        <w:rPr>
          <w:sz w:val="24"/>
        </w:rPr>
        <w:t>Támogatást elszámoló személy költsége a támogatási összeg maximum 10%-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 xml:space="preserve"> számolható el</w:t>
      </w:r>
    </w:p>
    <w:p w14:paraId="103644A4" w14:textId="77777777" w:rsidR="00B928A1" w:rsidRDefault="00B928A1">
      <w:pPr>
        <w:jc w:val="both"/>
        <w:rPr>
          <w:sz w:val="24"/>
        </w:rPr>
      </w:pPr>
    </w:p>
    <w:p w14:paraId="3B8CA7CF" w14:textId="5ECE4C88" w:rsidR="004D0AE4" w:rsidRPr="004D0AE4" w:rsidRDefault="004D0AE4" w:rsidP="004D0AE4">
      <w:pPr>
        <w:pStyle w:val="Listaszerbekezds"/>
        <w:numPr>
          <w:ilvl w:val="0"/>
          <w:numId w:val="1"/>
        </w:numPr>
        <w:jc w:val="both"/>
        <w:rPr>
          <w:sz w:val="24"/>
        </w:rPr>
        <w:sectPr w:rsidR="004D0AE4" w:rsidRPr="004D0AE4">
          <w:type w:val="continuous"/>
          <w:pgSz w:w="11910" w:h="16840"/>
          <w:pgMar w:top="800" w:right="1300" w:bottom="280" w:left="1300" w:header="708" w:footer="708" w:gutter="0"/>
          <w:cols w:space="708"/>
        </w:sectPr>
      </w:pPr>
    </w:p>
    <w:p w14:paraId="1E0E7429" w14:textId="77777777" w:rsidR="00255EBE" w:rsidRDefault="00DA4739">
      <w:pPr>
        <w:spacing w:before="66"/>
        <w:ind w:left="116"/>
        <w:rPr>
          <w:b/>
          <w:sz w:val="19"/>
        </w:rPr>
      </w:pPr>
      <w:r>
        <w:rPr>
          <w:b/>
          <w:sz w:val="24"/>
          <w:u w:val="thick"/>
        </w:rPr>
        <w:lastRenderedPageBreak/>
        <w:t>R</w:t>
      </w:r>
      <w:r>
        <w:rPr>
          <w:b/>
          <w:sz w:val="19"/>
          <w:u w:val="thick"/>
        </w:rPr>
        <w:t>ÉSZLETES BENCHMARK</w:t>
      </w:r>
    </w:p>
    <w:p w14:paraId="2B8B1912" w14:textId="77777777" w:rsidR="00255EBE" w:rsidRDefault="00255EBE">
      <w:pPr>
        <w:pStyle w:val="Szvegtrzs"/>
        <w:rPr>
          <w:b/>
          <w:sz w:val="20"/>
        </w:rPr>
      </w:pPr>
    </w:p>
    <w:p w14:paraId="124D88A8" w14:textId="77777777" w:rsidR="00255EBE" w:rsidRDefault="00255EBE">
      <w:pPr>
        <w:pStyle w:val="Szvegtrzs"/>
        <w:spacing w:before="2"/>
        <w:rPr>
          <w:b/>
          <w:sz w:val="20"/>
        </w:rPr>
      </w:pPr>
    </w:p>
    <w:p w14:paraId="43804296" w14:textId="77777777" w:rsidR="00255EBE" w:rsidRDefault="00DA4739">
      <w:pPr>
        <w:pStyle w:val="Cmsor1"/>
        <w:numPr>
          <w:ilvl w:val="1"/>
          <w:numId w:val="1"/>
        </w:numPr>
        <w:tabs>
          <w:tab w:val="left" w:pos="1197"/>
        </w:tabs>
        <w:spacing w:before="90"/>
        <w:ind w:hanging="361"/>
      </w:pPr>
      <w:r>
        <w:t>Létesítmény bérlések</w:t>
      </w:r>
    </w:p>
    <w:p w14:paraId="2A875F1E" w14:textId="77777777" w:rsidR="00255EBE" w:rsidRDefault="00255EBE">
      <w:pPr>
        <w:pStyle w:val="Szvegtrzs"/>
        <w:spacing w:before="2"/>
        <w:rPr>
          <w:b/>
          <w:sz w:val="12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1613"/>
      </w:tblGrid>
      <w:tr w:rsidR="00255EBE" w14:paraId="4ED958AE" w14:textId="77777777">
        <w:trPr>
          <w:trHeight w:val="412"/>
        </w:trPr>
        <w:tc>
          <w:tcPr>
            <w:tcW w:w="6011" w:type="dxa"/>
          </w:tcPr>
          <w:p w14:paraId="2658C795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Tornaterem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(/óra)</w:t>
            </w:r>
          </w:p>
        </w:tc>
        <w:tc>
          <w:tcPr>
            <w:tcW w:w="1613" w:type="dxa"/>
          </w:tcPr>
          <w:p w14:paraId="36ED761F" w14:textId="77777777" w:rsidR="00255EBE" w:rsidRDefault="00DA4739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10.000 Ft</w:t>
            </w:r>
          </w:p>
        </w:tc>
      </w:tr>
      <w:tr w:rsidR="00255EBE" w14:paraId="62FFE125" w14:textId="77777777">
        <w:trPr>
          <w:trHeight w:val="414"/>
        </w:trPr>
        <w:tc>
          <w:tcPr>
            <w:tcW w:w="6011" w:type="dxa"/>
          </w:tcPr>
          <w:p w14:paraId="032BE7C0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Sportcsarnok (500 fő alatti férőhely,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/óra)</w:t>
            </w:r>
          </w:p>
        </w:tc>
        <w:tc>
          <w:tcPr>
            <w:tcW w:w="1613" w:type="dxa"/>
          </w:tcPr>
          <w:p w14:paraId="466670BD" w14:textId="77777777" w:rsidR="00255EBE" w:rsidRDefault="00DA4739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15.000 Ft</w:t>
            </w:r>
          </w:p>
        </w:tc>
      </w:tr>
      <w:tr w:rsidR="00255EBE" w14:paraId="71DCF31A" w14:textId="77777777">
        <w:trPr>
          <w:trHeight w:val="412"/>
        </w:trPr>
        <w:tc>
          <w:tcPr>
            <w:tcW w:w="6011" w:type="dxa"/>
          </w:tcPr>
          <w:p w14:paraId="0D6D3B29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Sportcsarnok (501-1000 fő közötti férőhely,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/óra)</w:t>
            </w:r>
          </w:p>
        </w:tc>
        <w:tc>
          <w:tcPr>
            <w:tcW w:w="1613" w:type="dxa"/>
          </w:tcPr>
          <w:p w14:paraId="32834AE5" w14:textId="77777777" w:rsidR="00255EBE" w:rsidRDefault="00DA4739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20.000 Ft</w:t>
            </w:r>
          </w:p>
        </w:tc>
      </w:tr>
      <w:tr w:rsidR="00255EBE" w14:paraId="6A205699" w14:textId="77777777">
        <w:trPr>
          <w:trHeight w:val="414"/>
        </w:trPr>
        <w:tc>
          <w:tcPr>
            <w:tcW w:w="6011" w:type="dxa"/>
          </w:tcPr>
          <w:p w14:paraId="44672A53" w14:textId="77777777" w:rsidR="00255EBE" w:rsidRDefault="00DA4739">
            <w:pPr>
              <w:pStyle w:val="TableParagraph"/>
              <w:tabs>
                <w:tab w:val="left" w:pos="960"/>
              </w:tabs>
              <w:spacing w:before="1" w:line="240" w:lineRule="auto"/>
              <w:ind w:left="535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Sportcsarnok (1000 férőhely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felett/óra)</w:t>
            </w:r>
          </w:p>
        </w:tc>
        <w:tc>
          <w:tcPr>
            <w:tcW w:w="1613" w:type="dxa"/>
          </w:tcPr>
          <w:p w14:paraId="44CF91FC" w14:textId="77777777" w:rsidR="00255EBE" w:rsidRDefault="00DA4739">
            <w:pPr>
              <w:pStyle w:val="TableParagraph"/>
              <w:spacing w:before="1" w:line="240" w:lineRule="auto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20.000 Ft</w:t>
            </w:r>
          </w:p>
        </w:tc>
      </w:tr>
    </w:tbl>
    <w:p w14:paraId="75A7148E" w14:textId="77777777" w:rsidR="00255EBE" w:rsidRDefault="00255EBE">
      <w:pPr>
        <w:pStyle w:val="Szvegtrzs"/>
        <w:rPr>
          <w:b/>
          <w:sz w:val="36"/>
        </w:rPr>
      </w:pPr>
    </w:p>
    <w:p w14:paraId="25CC77C9" w14:textId="75D0B217" w:rsidR="00255EBE" w:rsidRDefault="00DA4739">
      <w:pPr>
        <w:pStyle w:val="Szvegtrzs"/>
        <w:spacing w:before="1" w:line="360" w:lineRule="auto"/>
        <w:ind w:left="968"/>
      </w:pPr>
      <w:r>
        <w:t>A Nemzeti Sport</w:t>
      </w:r>
      <w:r w:rsidR="001E39EB">
        <w:t>infrastrukturális Ügynökség</w:t>
      </w:r>
      <w:r>
        <w:t xml:space="preserve"> kezelésébe tartozó, valamint hasonló sportfunkciójú és kapacitású létesítmények bérlése esetén az NS</w:t>
      </w:r>
      <w:r w:rsidR="001E39EB">
        <w:t>Ü</w:t>
      </w:r>
      <w:r>
        <w:t xml:space="preserve"> aktuális díjszabása az irányadó.</w:t>
      </w:r>
    </w:p>
    <w:p w14:paraId="301C1896" w14:textId="77777777" w:rsidR="00255EBE" w:rsidRDefault="00255EBE">
      <w:pPr>
        <w:pStyle w:val="Szvegtrzs"/>
        <w:spacing w:before="10"/>
        <w:rPr>
          <w:sz w:val="35"/>
        </w:rPr>
      </w:pPr>
    </w:p>
    <w:p w14:paraId="40E7FFAB" w14:textId="77777777" w:rsidR="00255EBE" w:rsidRDefault="00DA4739">
      <w:pPr>
        <w:pStyle w:val="Cmsor1"/>
        <w:numPr>
          <w:ilvl w:val="1"/>
          <w:numId w:val="1"/>
        </w:numPr>
        <w:tabs>
          <w:tab w:val="left" w:pos="1197"/>
        </w:tabs>
        <w:ind w:hanging="361"/>
      </w:pPr>
      <w:r>
        <w:t>Szállás,</w:t>
      </w:r>
      <w:r>
        <w:rPr>
          <w:spacing w:val="-1"/>
        </w:rPr>
        <w:t xml:space="preserve"> </w:t>
      </w:r>
      <w:r>
        <w:t>étkezés</w:t>
      </w:r>
    </w:p>
    <w:p w14:paraId="1F482069" w14:textId="77777777" w:rsidR="00255EBE" w:rsidRDefault="00255EBE">
      <w:pPr>
        <w:pStyle w:val="Szvegtrzs"/>
        <w:spacing w:before="2"/>
        <w:rPr>
          <w:b/>
          <w:sz w:val="12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1337"/>
      </w:tblGrid>
      <w:tr w:rsidR="00255EBE" w14:paraId="47AE65BB" w14:textId="77777777">
        <w:trPr>
          <w:trHeight w:val="412"/>
        </w:trPr>
        <w:tc>
          <w:tcPr>
            <w:tcW w:w="6287" w:type="dxa"/>
          </w:tcPr>
          <w:p w14:paraId="2D101517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Szállás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fő/éj</w:t>
            </w:r>
          </w:p>
        </w:tc>
        <w:tc>
          <w:tcPr>
            <w:tcW w:w="1337" w:type="dxa"/>
          </w:tcPr>
          <w:p w14:paraId="5D05EEFE" w14:textId="77777777" w:rsidR="00255EBE" w:rsidRDefault="00DA473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10.000 Ft</w:t>
            </w:r>
          </w:p>
        </w:tc>
      </w:tr>
      <w:tr w:rsidR="00255EBE" w14:paraId="02EE4361" w14:textId="77777777">
        <w:trPr>
          <w:trHeight w:val="414"/>
        </w:trPr>
        <w:tc>
          <w:tcPr>
            <w:tcW w:w="6287" w:type="dxa"/>
          </w:tcPr>
          <w:p w14:paraId="0881A083" w14:textId="77777777" w:rsidR="00255EBE" w:rsidRDefault="00DA4739">
            <w:pPr>
              <w:pStyle w:val="TableParagraph"/>
              <w:tabs>
                <w:tab w:val="left" w:pos="960"/>
              </w:tabs>
              <w:spacing w:before="1" w:line="240" w:lineRule="auto"/>
              <w:ind w:left="53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Szállás (reggelivel)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fő/éj</w:t>
            </w:r>
          </w:p>
        </w:tc>
        <w:tc>
          <w:tcPr>
            <w:tcW w:w="1337" w:type="dxa"/>
          </w:tcPr>
          <w:p w14:paraId="6FF77271" w14:textId="77777777" w:rsidR="00255EBE" w:rsidRDefault="00DA4739">
            <w:pPr>
              <w:pStyle w:val="TableParagraph"/>
              <w:spacing w:before="1" w:line="240" w:lineRule="auto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15.000 Ft</w:t>
            </w:r>
          </w:p>
        </w:tc>
      </w:tr>
      <w:tr w:rsidR="00255EBE" w14:paraId="625DC78B" w14:textId="77777777">
        <w:trPr>
          <w:trHeight w:val="414"/>
        </w:trPr>
        <w:tc>
          <w:tcPr>
            <w:tcW w:w="6287" w:type="dxa"/>
          </w:tcPr>
          <w:p w14:paraId="099B8A20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Szállás (teljes ellátás)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fő/éj</w:t>
            </w:r>
          </w:p>
        </w:tc>
        <w:tc>
          <w:tcPr>
            <w:tcW w:w="1337" w:type="dxa"/>
          </w:tcPr>
          <w:p w14:paraId="2F0EB5B6" w14:textId="77777777" w:rsidR="00255EBE" w:rsidRDefault="00DA473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20.000 Ft</w:t>
            </w:r>
          </w:p>
        </w:tc>
      </w:tr>
      <w:tr w:rsidR="00255EBE" w14:paraId="5F00A6EC" w14:textId="77777777">
        <w:trPr>
          <w:trHeight w:val="412"/>
        </w:trPr>
        <w:tc>
          <w:tcPr>
            <w:tcW w:w="6287" w:type="dxa"/>
          </w:tcPr>
          <w:p w14:paraId="42BD188B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Reggeli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fő/alkalom</w:t>
            </w:r>
          </w:p>
        </w:tc>
        <w:tc>
          <w:tcPr>
            <w:tcW w:w="1337" w:type="dxa"/>
          </w:tcPr>
          <w:p w14:paraId="6B636403" w14:textId="77777777" w:rsidR="00255EBE" w:rsidRDefault="00DA473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1.500 Ft</w:t>
            </w:r>
          </w:p>
        </w:tc>
      </w:tr>
      <w:tr w:rsidR="00255EBE" w14:paraId="7133CA5C" w14:textId="77777777">
        <w:trPr>
          <w:trHeight w:val="414"/>
        </w:trPr>
        <w:tc>
          <w:tcPr>
            <w:tcW w:w="6287" w:type="dxa"/>
          </w:tcPr>
          <w:p w14:paraId="371091DD" w14:textId="77777777" w:rsidR="00255EBE" w:rsidRDefault="00DA4739">
            <w:pPr>
              <w:pStyle w:val="TableParagraph"/>
              <w:tabs>
                <w:tab w:val="left" w:pos="960"/>
              </w:tabs>
              <w:spacing w:before="1" w:line="240" w:lineRule="auto"/>
              <w:ind w:left="535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z w:val="24"/>
              </w:rPr>
              <w:tab/>
              <w:t>Ebéd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fő/alkalom</w:t>
            </w:r>
          </w:p>
        </w:tc>
        <w:tc>
          <w:tcPr>
            <w:tcW w:w="1337" w:type="dxa"/>
          </w:tcPr>
          <w:p w14:paraId="11B894DE" w14:textId="77777777" w:rsidR="00255EBE" w:rsidRDefault="00DA4739">
            <w:pPr>
              <w:pStyle w:val="TableParagraph"/>
              <w:spacing w:before="1" w:line="240" w:lineRule="auto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3.500 Ft</w:t>
            </w:r>
          </w:p>
        </w:tc>
      </w:tr>
      <w:tr w:rsidR="00255EBE" w14:paraId="782C6ED3" w14:textId="77777777">
        <w:trPr>
          <w:trHeight w:val="414"/>
        </w:trPr>
        <w:tc>
          <w:tcPr>
            <w:tcW w:w="6287" w:type="dxa"/>
          </w:tcPr>
          <w:p w14:paraId="6AE710B9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  <w:t>Vacsora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fő/alkalom</w:t>
            </w:r>
          </w:p>
        </w:tc>
        <w:tc>
          <w:tcPr>
            <w:tcW w:w="1337" w:type="dxa"/>
          </w:tcPr>
          <w:p w14:paraId="3D79793A" w14:textId="77777777" w:rsidR="00255EBE" w:rsidRDefault="00DA473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3.000 Ft</w:t>
            </w:r>
          </w:p>
        </w:tc>
      </w:tr>
      <w:tr w:rsidR="00255EBE" w14:paraId="5C1314A9" w14:textId="77777777">
        <w:trPr>
          <w:trHeight w:val="412"/>
        </w:trPr>
        <w:tc>
          <w:tcPr>
            <w:tcW w:w="6287" w:type="dxa"/>
          </w:tcPr>
          <w:p w14:paraId="5BA47CCD" w14:textId="77777777" w:rsidR="00255EBE" w:rsidRDefault="00DA4739">
            <w:pPr>
              <w:pStyle w:val="TableParagraph"/>
              <w:tabs>
                <w:tab w:val="left" w:pos="960"/>
              </w:tabs>
              <w:ind w:left="535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z w:val="24"/>
              </w:rPr>
              <w:tab/>
              <w:t>Snack, hidegcsomag (per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fő)</w:t>
            </w:r>
          </w:p>
        </w:tc>
        <w:tc>
          <w:tcPr>
            <w:tcW w:w="1337" w:type="dxa"/>
          </w:tcPr>
          <w:p w14:paraId="5054B0E5" w14:textId="77777777" w:rsidR="00255EBE" w:rsidRDefault="00DA473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2.000 Ft</w:t>
            </w:r>
          </w:p>
        </w:tc>
      </w:tr>
    </w:tbl>
    <w:p w14:paraId="630C7E92" w14:textId="77777777" w:rsidR="00255EBE" w:rsidRDefault="00255EBE">
      <w:pPr>
        <w:pStyle w:val="Szvegtrzs"/>
        <w:rPr>
          <w:b/>
          <w:sz w:val="36"/>
        </w:rPr>
      </w:pPr>
    </w:p>
    <w:p w14:paraId="71608572" w14:textId="77777777" w:rsidR="00255EBE" w:rsidRDefault="00DA4739">
      <w:pPr>
        <w:pStyle w:val="Listaszerbekezds"/>
        <w:numPr>
          <w:ilvl w:val="1"/>
          <w:numId w:val="1"/>
        </w:numPr>
        <w:tabs>
          <w:tab w:val="left" w:pos="1197"/>
        </w:tabs>
        <w:ind w:hanging="361"/>
        <w:rPr>
          <w:b/>
          <w:sz w:val="24"/>
        </w:rPr>
      </w:pPr>
      <w:r>
        <w:rPr>
          <w:b/>
          <w:sz w:val="24"/>
        </w:rPr>
        <w:t>Személyszállítás (jegy, km/</w:t>
      </w:r>
      <w:proofErr w:type="gramStart"/>
      <w:r>
        <w:rPr>
          <w:b/>
          <w:sz w:val="24"/>
        </w:rPr>
        <w:t>óra díj</w:t>
      </w:r>
      <w:proofErr w:type="gramEnd"/>
      <w:r>
        <w:rPr>
          <w:b/>
          <w:sz w:val="24"/>
        </w:rPr>
        <w:t>)</w:t>
      </w:r>
    </w:p>
    <w:p w14:paraId="1EEC6186" w14:textId="77777777" w:rsidR="00255EBE" w:rsidRDefault="00255EBE">
      <w:pPr>
        <w:pStyle w:val="Szvegtrzs"/>
        <w:rPr>
          <w:b/>
          <w:sz w:val="12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824"/>
      </w:tblGrid>
      <w:tr w:rsidR="00255EBE" w14:paraId="2B31C8F1" w14:textId="77777777">
        <w:trPr>
          <w:trHeight w:val="414"/>
        </w:trPr>
        <w:tc>
          <w:tcPr>
            <w:tcW w:w="3800" w:type="dxa"/>
          </w:tcPr>
          <w:p w14:paraId="6D6615F0" w14:textId="34EF40ED" w:rsidR="00255EBE" w:rsidRDefault="00DA473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Vonat</w:t>
            </w:r>
            <w:r w:rsidR="004D0AE4">
              <w:rPr>
                <w:sz w:val="24"/>
              </w:rPr>
              <w:t xml:space="preserve"> / Busz</w:t>
            </w:r>
          </w:p>
        </w:tc>
        <w:tc>
          <w:tcPr>
            <w:tcW w:w="3824" w:type="dxa"/>
          </w:tcPr>
          <w:p w14:paraId="0064843D" w14:textId="1040F0C9" w:rsidR="00255EBE" w:rsidRDefault="00DA4739">
            <w:pPr>
              <w:pStyle w:val="TableParagraph"/>
              <w:spacing w:before="1" w:line="240" w:lineRule="auto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hivatalos díjszabás szerint</w:t>
            </w:r>
          </w:p>
        </w:tc>
      </w:tr>
      <w:tr w:rsidR="00255EBE" w14:paraId="1EFAF12E" w14:textId="77777777">
        <w:trPr>
          <w:trHeight w:val="415"/>
        </w:trPr>
        <w:tc>
          <w:tcPr>
            <w:tcW w:w="7624" w:type="dxa"/>
            <w:gridSpan w:val="2"/>
          </w:tcPr>
          <w:p w14:paraId="2FF6828C" w14:textId="77777777" w:rsidR="00255EBE" w:rsidRDefault="00DA473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km alapú elszámolás esetén</w:t>
            </w:r>
          </w:p>
        </w:tc>
      </w:tr>
      <w:tr w:rsidR="00590850" w14:paraId="02A5ED36" w14:textId="77777777">
        <w:trPr>
          <w:trHeight w:val="412"/>
        </w:trPr>
        <w:tc>
          <w:tcPr>
            <w:tcW w:w="3800" w:type="dxa"/>
          </w:tcPr>
          <w:p w14:paraId="1C032DA8" w14:textId="0C351135" w:rsidR="00590850" w:rsidRDefault="00590850" w:rsidP="00590850">
            <w:pPr>
              <w:pStyle w:val="TableParagraph"/>
              <w:ind w:left="110"/>
              <w:rPr>
                <w:sz w:val="24"/>
              </w:rPr>
            </w:pPr>
            <w:r w:rsidRPr="004A1278">
              <w:t>Busz 9 - 20 fő</w:t>
            </w:r>
          </w:p>
        </w:tc>
        <w:tc>
          <w:tcPr>
            <w:tcW w:w="3824" w:type="dxa"/>
          </w:tcPr>
          <w:p w14:paraId="40FB457F" w14:textId="6AE1C391" w:rsidR="00590850" w:rsidRPr="00590850" w:rsidRDefault="00590850" w:rsidP="009748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715 Ft/km</w:t>
            </w:r>
          </w:p>
        </w:tc>
      </w:tr>
      <w:tr w:rsidR="00590850" w14:paraId="075841E0" w14:textId="77777777">
        <w:trPr>
          <w:trHeight w:val="414"/>
        </w:trPr>
        <w:tc>
          <w:tcPr>
            <w:tcW w:w="3800" w:type="dxa"/>
          </w:tcPr>
          <w:p w14:paraId="3289DC74" w14:textId="72187D0C" w:rsidR="00590850" w:rsidRDefault="00590850" w:rsidP="0059085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 w:rsidRPr="004A1278">
              <w:t>Busz 21 - 32 fő</w:t>
            </w:r>
          </w:p>
        </w:tc>
        <w:tc>
          <w:tcPr>
            <w:tcW w:w="3824" w:type="dxa"/>
          </w:tcPr>
          <w:p w14:paraId="6DDB0B95" w14:textId="30821A70" w:rsidR="00590850" w:rsidRPr="00590850" w:rsidRDefault="00590850" w:rsidP="009748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740 Ft/km</w:t>
            </w:r>
          </w:p>
        </w:tc>
      </w:tr>
      <w:tr w:rsidR="00590850" w14:paraId="032818CD" w14:textId="77777777">
        <w:trPr>
          <w:trHeight w:val="414"/>
        </w:trPr>
        <w:tc>
          <w:tcPr>
            <w:tcW w:w="3800" w:type="dxa"/>
          </w:tcPr>
          <w:p w14:paraId="5FE3F3D5" w14:textId="0A3D15E1" w:rsidR="00590850" w:rsidRDefault="00590850" w:rsidP="00590850">
            <w:pPr>
              <w:pStyle w:val="TableParagraph"/>
              <w:ind w:left="110"/>
              <w:rPr>
                <w:sz w:val="24"/>
              </w:rPr>
            </w:pPr>
            <w:r w:rsidRPr="004A1278">
              <w:t>Busz 33 – 50 fő</w:t>
            </w:r>
          </w:p>
        </w:tc>
        <w:tc>
          <w:tcPr>
            <w:tcW w:w="3824" w:type="dxa"/>
          </w:tcPr>
          <w:p w14:paraId="470E1AD4" w14:textId="647D0E63" w:rsidR="00590850" w:rsidRPr="00590850" w:rsidRDefault="00590850" w:rsidP="009748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770 Ft/km</w:t>
            </w:r>
          </w:p>
        </w:tc>
      </w:tr>
      <w:tr w:rsidR="00590850" w14:paraId="393AF460" w14:textId="77777777">
        <w:trPr>
          <w:trHeight w:val="412"/>
        </w:trPr>
        <w:tc>
          <w:tcPr>
            <w:tcW w:w="3800" w:type="dxa"/>
          </w:tcPr>
          <w:p w14:paraId="344C2586" w14:textId="2C9DC7E7" w:rsidR="00590850" w:rsidRDefault="00590850" w:rsidP="00590850">
            <w:pPr>
              <w:pStyle w:val="TableParagraph"/>
              <w:ind w:left="110"/>
              <w:rPr>
                <w:sz w:val="24"/>
              </w:rPr>
            </w:pPr>
            <w:r w:rsidRPr="004A1278">
              <w:t>Busz 51 – 60 fő</w:t>
            </w:r>
          </w:p>
        </w:tc>
        <w:tc>
          <w:tcPr>
            <w:tcW w:w="3824" w:type="dxa"/>
          </w:tcPr>
          <w:p w14:paraId="6848503C" w14:textId="3C0ABDE3" w:rsidR="00590850" w:rsidRPr="00590850" w:rsidRDefault="00590850" w:rsidP="009748C4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1010 Ft/km</w:t>
            </w:r>
          </w:p>
        </w:tc>
      </w:tr>
      <w:tr w:rsidR="00590850" w14:paraId="7E771443" w14:textId="77777777">
        <w:trPr>
          <w:trHeight w:val="414"/>
        </w:trPr>
        <w:tc>
          <w:tcPr>
            <w:tcW w:w="7624" w:type="dxa"/>
            <w:gridSpan w:val="2"/>
          </w:tcPr>
          <w:p w14:paraId="25BDD3E7" w14:textId="0323868F" w:rsidR="00590850" w:rsidRDefault="00590850" w:rsidP="00590850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 w:rsidRPr="004A1278">
              <w:t>óradíjas elszámolás esetén</w:t>
            </w:r>
          </w:p>
        </w:tc>
      </w:tr>
      <w:tr w:rsidR="00590850" w:rsidRPr="00590850" w14:paraId="02B848BF" w14:textId="77777777">
        <w:trPr>
          <w:trHeight w:val="414"/>
        </w:trPr>
        <w:tc>
          <w:tcPr>
            <w:tcW w:w="3800" w:type="dxa"/>
          </w:tcPr>
          <w:p w14:paraId="39515C41" w14:textId="04EDCE4E" w:rsidR="00590850" w:rsidRDefault="00590850" w:rsidP="00590850">
            <w:pPr>
              <w:pStyle w:val="TableParagraph"/>
              <w:ind w:left="110"/>
              <w:rPr>
                <w:sz w:val="24"/>
              </w:rPr>
            </w:pPr>
            <w:r w:rsidRPr="004A1278">
              <w:t>Busz 9 - 20 fő</w:t>
            </w:r>
          </w:p>
        </w:tc>
        <w:tc>
          <w:tcPr>
            <w:tcW w:w="3824" w:type="dxa"/>
          </w:tcPr>
          <w:p w14:paraId="014D04A8" w14:textId="32103C37" w:rsidR="00590850" w:rsidRPr="00590850" w:rsidRDefault="00590850" w:rsidP="00590850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14.500 Ft/óra</w:t>
            </w:r>
          </w:p>
        </w:tc>
      </w:tr>
      <w:tr w:rsidR="00590850" w:rsidRPr="00590850" w14:paraId="20DE6791" w14:textId="77777777">
        <w:trPr>
          <w:trHeight w:val="412"/>
        </w:trPr>
        <w:tc>
          <w:tcPr>
            <w:tcW w:w="3800" w:type="dxa"/>
          </w:tcPr>
          <w:p w14:paraId="72CB8533" w14:textId="33E2C517" w:rsidR="00590850" w:rsidRDefault="00590850" w:rsidP="00590850">
            <w:pPr>
              <w:pStyle w:val="TableParagraph"/>
              <w:ind w:left="110"/>
              <w:rPr>
                <w:sz w:val="24"/>
              </w:rPr>
            </w:pPr>
            <w:r w:rsidRPr="004A1278">
              <w:t>Busz 21 - 32 fő</w:t>
            </w:r>
          </w:p>
        </w:tc>
        <w:tc>
          <w:tcPr>
            <w:tcW w:w="3824" w:type="dxa"/>
          </w:tcPr>
          <w:p w14:paraId="04C1FB9D" w14:textId="1DAFDA03" w:rsidR="00590850" w:rsidRPr="00590850" w:rsidRDefault="00590850" w:rsidP="00590850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15.500 Ft/óra</w:t>
            </w:r>
          </w:p>
        </w:tc>
      </w:tr>
      <w:tr w:rsidR="00590850" w:rsidRPr="00590850" w14:paraId="022C7DE4" w14:textId="77777777">
        <w:trPr>
          <w:trHeight w:val="414"/>
        </w:trPr>
        <w:tc>
          <w:tcPr>
            <w:tcW w:w="3800" w:type="dxa"/>
          </w:tcPr>
          <w:p w14:paraId="0F37DBA1" w14:textId="7E4B6E54" w:rsidR="00590850" w:rsidRDefault="00590850" w:rsidP="00590850">
            <w:pPr>
              <w:pStyle w:val="TableParagraph"/>
              <w:ind w:left="110"/>
              <w:rPr>
                <w:sz w:val="24"/>
              </w:rPr>
            </w:pPr>
            <w:r w:rsidRPr="004A1278">
              <w:t>Busz 33 – 50 fő</w:t>
            </w:r>
          </w:p>
        </w:tc>
        <w:tc>
          <w:tcPr>
            <w:tcW w:w="3824" w:type="dxa"/>
          </w:tcPr>
          <w:p w14:paraId="6CF15A92" w14:textId="2ED48EC8" w:rsidR="00590850" w:rsidRPr="00590850" w:rsidRDefault="00590850" w:rsidP="00590850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18.000 Ft/óra</w:t>
            </w:r>
          </w:p>
        </w:tc>
      </w:tr>
      <w:tr w:rsidR="00590850" w:rsidRPr="00590850" w14:paraId="28C62CE2" w14:textId="77777777">
        <w:trPr>
          <w:trHeight w:val="414"/>
        </w:trPr>
        <w:tc>
          <w:tcPr>
            <w:tcW w:w="3800" w:type="dxa"/>
          </w:tcPr>
          <w:p w14:paraId="7FE64833" w14:textId="2B764D13" w:rsidR="00590850" w:rsidRDefault="00590850" w:rsidP="00590850">
            <w:pPr>
              <w:pStyle w:val="TableParagraph"/>
              <w:ind w:left="110"/>
              <w:rPr>
                <w:sz w:val="24"/>
              </w:rPr>
            </w:pPr>
            <w:r w:rsidRPr="004A1278">
              <w:t>Busz 51 – 60 fő</w:t>
            </w:r>
          </w:p>
        </w:tc>
        <w:tc>
          <w:tcPr>
            <w:tcW w:w="3824" w:type="dxa"/>
          </w:tcPr>
          <w:p w14:paraId="406CCB75" w14:textId="74779124" w:rsidR="00590850" w:rsidRPr="00590850" w:rsidRDefault="00590850" w:rsidP="00590850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9748C4">
              <w:rPr>
                <w:b/>
                <w:sz w:val="24"/>
              </w:rPr>
              <w:t>21.000 Ft/óra</w:t>
            </w:r>
          </w:p>
        </w:tc>
      </w:tr>
    </w:tbl>
    <w:p w14:paraId="55B4AAB9" w14:textId="77777777" w:rsidR="00175B7D" w:rsidRDefault="00175B7D"/>
    <w:sectPr w:rsidR="00175B7D"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57875"/>
    <w:multiLevelType w:val="hybridMultilevel"/>
    <w:tmpl w:val="E306194E"/>
    <w:lvl w:ilvl="0" w:tplc="08DC1E94">
      <w:numFmt w:val="bullet"/>
      <w:lvlText w:val="-"/>
      <w:lvlJc w:val="left"/>
      <w:pPr>
        <w:ind w:left="83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hu-HU" w:eastAsia="en-US" w:bidi="ar-SA"/>
      </w:rPr>
    </w:lvl>
    <w:lvl w:ilvl="1" w:tplc="8FB491E0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2" w:tplc="BC34C86C">
      <w:numFmt w:val="bullet"/>
      <w:lvlText w:val="•"/>
      <w:lvlJc w:val="left"/>
      <w:pPr>
        <w:ind w:left="2100" w:hanging="360"/>
      </w:pPr>
      <w:rPr>
        <w:rFonts w:hint="default"/>
        <w:lang w:val="hu-HU" w:eastAsia="en-US" w:bidi="ar-SA"/>
      </w:rPr>
    </w:lvl>
    <w:lvl w:ilvl="3" w:tplc="91866BF0">
      <w:numFmt w:val="bullet"/>
      <w:lvlText w:val="•"/>
      <w:lvlJc w:val="left"/>
      <w:pPr>
        <w:ind w:left="3001" w:hanging="360"/>
      </w:pPr>
      <w:rPr>
        <w:rFonts w:hint="default"/>
        <w:lang w:val="hu-HU" w:eastAsia="en-US" w:bidi="ar-SA"/>
      </w:rPr>
    </w:lvl>
    <w:lvl w:ilvl="4" w:tplc="65340964">
      <w:numFmt w:val="bullet"/>
      <w:lvlText w:val="•"/>
      <w:lvlJc w:val="left"/>
      <w:pPr>
        <w:ind w:left="3902" w:hanging="360"/>
      </w:pPr>
      <w:rPr>
        <w:rFonts w:hint="default"/>
        <w:lang w:val="hu-HU" w:eastAsia="en-US" w:bidi="ar-SA"/>
      </w:rPr>
    </w:lvl>
    <w:lvl w:ilvl="5" w:tplc="B82E31D8">
      <w:numFmt w:val="bullet"/>
      <w:lvlText w:val="•"/>
      <w:lvlJc w:val="left"/>
      <w:pPr>
        <w:ind w:left="4802" w:hanging="360"/>
      </w:pPr>
      <w:rPr>
        <w:rFonts w:hint="default"/>
        <w:lang w:val="hu-HU" w:eastAsia="en-US" w:bidi="ar-SA"/>
      </w:rPr>
    </w:lvl>
    <w:lvl w:ilvl="6" w:tplc="931AE5C2">
      <w:numFmt w:val="bullet"/>
      <w:lvlText w:val="•"/>
      <w:lvlJc w:val="left"/>
      <w:pPr>
        <w:ind w:left="5703" w:hanging="360"/>
      </w:pPr>
      <w:rPr>
        <w:rFonts w:hint="default"/>
        <w:lang w:val="hu-HU" w:eastAsia="en-US" w:bidi="ar-SA"/>
      </w:rPr>
    </w:lvl>
    <w:lvl w:ilvl="7" w:tplc="0540E5CA">
      <w:numFmt w:val="bullet"/>
      <w:lvlText w:val="•"/>
      <w:lvlJc w:val="left"/>
      <w:pPr>
        <w:ind w:left="6604" w:hanging="360"/>
      </w:pPr>
      <w:rPr>
        <w:rFonts w:hint="default"/>
        <w:lang w:val="hu-HU" w:eastAsia="en-US" w:bidi="ar-SA"/>
      </w:rPr>
    </w:lvl>
    <w:lvl w:ilvl="8" w:tplc="2BF83842">
      <w:numFmt w:val="bullet"/>
      <w:lvlText w:val="•"/>
      <w:lvlJc w:val="left"/>
      <w:pPr>
        <w:ind w:left="7504" w:hanging="360"/>
      </w:pPr>
      <w:rPr>
        <w:rFonts w:hint="default"/>
        <w:lang w:val="hu-HU" w:eastAsia="en-US" w:bidi="ar-SA"/>
      </w:rPr>
    </w:lvl>
  </w:abstractNum>
  <w:num w:numId="1" w16cid:durableId="143382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E"/>
    <w:rsid w:val="00084CBC"/>
    <w:rsid w:val="000E3D88"/>
    <w:rsid w:val="000E3DD4"/>
    <w:rsid w:val="00161EB5"/>
    <w:rsid w:val="00175B7D"/>
    <w:rsid w:val="001D4BF5"/>
    <w:rsid w:val="001E39EB"/>
    <w:rsid w:val="00202C14"/>
    <w:rsid w:val="002053DC"/>
    <w:rsid w:val="0022760F"/>
    <w:rsid w:val="00255EBE"/>
    <w:rsid w:val="004340A5"/>
    <w:rsid w:val="004D0AE4"/>
    <w:rsid w:val="00567CA5"/>
    <w:rsid w:val="00590850"/>
    <w:rsid w:val="005F67D6"/>
    <w:rsid w:val="0064694A"/>
    <w:rsid w:val="006E1623"/>
    <w:rsid w:val="009748C4"/>
    <w:rsid w:val="00B76A2F"/>
    <w:rsid w:val="00B928A1"/>
    <w:rsid w:val="00D15E16"/>
    <w:rsid w:val="00DA4739"/>
    <w:rsid w:val="00E32D7F"/>
    <w:rsid w:val="00E617F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B311"/>
  <w15:docId w15:val="{752955FA-1DC5-4E77-A150-1A02D3B9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96" w:hanging="36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  <w:pPr>
      <w:spacing w:line="275" w:lineRule="exact"/>
    </w:pPr>
  </w:style>
  <w:style w:type="paragraph" w:styleId="Vltozat">
    <w:name w:val="Revision"/>
    <w:hidden/>
    <w:uiPriority w:val="99"/>
    <w:semiHidden/>
    <w:rsid w:val="000E3DD4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E9E9-ADDE-48A2-B36F-48A7E549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2585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Lévai Balázs</dc:creator>
  <cp:lastModifiedBy>Béla Kovács</cp:lastModifiedBy>
  <cp:revision>2</cp:revision>
  <dcterms:created xsi:type="dcterms:W3CDTF">2025-01-17T06:03:00Z</dcterms:created>
  <dcterms:modified xsi:type="dcterms:W3CDTF">2025-01-17T06:03:00Z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2023-03-27T00:00:00Z</vt:filetime>
  </property>
</Properties>
</file>